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r>
        <w:rPr>
          <w:rFonts w:ascii="Times New Roman" w:hAnsi="Times New Roman" w:cs="Times New Roman"/>
          <w:sz w:val="24"/>
          <w:szCs w:val="24"/>
        </w:rPr>
        <w:t>Cyber Ethics Review</w:t>
      </w:r>
    </w:p>
    <w:p w:rsidR="002054ED" w:rsidRDefault="002054ED" w:rsidP="002054E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054ED" w:rsidRDefault="002054ED" w:rsidP="002054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p>
    <w:p w:rsidR="002054ED" w:rsidRDefault="002054ED" w:rsidP="002054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Cyber Ethics Review</w:t>
      </w:r>
    </w:p>
    <w:p w:rsidR="002054ED" w:rsidRDefault="002054ED" w:rsidP="002054ED">
      <w:pPr>
        <w:spacing w:line="480" w:lineRule="auto"/>
        <w:rPr>
          <w:rFonts w:ascii="Times New Roman" w:hAnsi="Times New Roman" w:cs="Times New Roman"/>
          <w:b/>
          <w:sz w:val="24"/>
          <w:szCs w:val="24"/>
        </w:rPr>
      </w:pPr>
      <w:r w:rsidRPr="005C5EA7">
        <w:rPr>
          <w:rFonts w:ascii="Times New Roman" w:hAnsi="Times New Roman" w:cs="Times New Roman"/>
          <w:b/>
          <w:sz w:val="24"/>
          <w:szCs w:val="24"/>
        </w:rPr>
        <w:t>Codes of Ethics</w:t>
      </w:r>
    </w:p>
    <w:p w:rsidR="005C5EA7" w:rsidRPr="005C5EA7" w:rsidRDefault="005C5EA7" w:rsidP="002054ED">
      <w:pPr>
        <w:spacing w:line="480" w:lineRule="auto"/>
        <w:rPr>
          <w:rFonts w:ascii="Times New Roman" w:hAnsi="Times New Roman" w:cs="Times New Roman"/>
          <w:b/>
          <w:sz w:val="24"/>
          <w:szCs w:val="24"/>
        </w:rPr>
      </w:pPr>
      <w:r>
        <w:rPr>
          <w:rFonts w:ascii="Times New Roman" w:hAnsi="Times New Roman" w:cs="Times New Roman"/>
          <w:b/>
          <w:sz w:val="24"/>
          <w:szCs w:val="24"/>
        </w:rPr>
        <w:tab/>
        <w:t>Introductory Paragraph</w:t>
      </w:r>
    </w:p>
    <w:p w:rsidR="00C65DC3" w:rsidRPr="00C65DC3" w:rsidRDefault="002054ED" w:rsidP="00C65DC3">
      <w:pPr>
        <w:spacing w:line="480" w:lineRule="auto"/>
      </w:pPr>
      <w:r>
        <w:rPr>
          <w:rFonts w:ascii="Times New Roman" w:hAnsi="Times New Roman" w:cs="Times New Roman"/>
          <w:sz w:val="24"/>
          <w:szCs w:val="24"/>
        </w:rPr>
        <w:tab/>
      </w:r>
      <w:r w:rsidR="00C65DC3" w:rsidRPr="00C65DC3">
        <w:rPr>
          <w:rFonts w:ascii="Times New Roman" w:hAnsi="Times New Roman" w:cs="Times New Roman"/>
          <w:sz w:val="24"/>
          <w:szCs w:val="24"/>
        </w:rPr>
        <w:t>The case is about how the development of artificial intelligence (AI)-powered dystopia that enables one-click-actions. In this regard, companies such as Facebook, Amazon, and Google use algorithms like the ones mentioned above to get users to click ads that are social or political-centered</w:t>
      </w:r>
      <w:r w:rsidR="00C65DC3" w:rsidRPr="00C65DC3">
        <w:rPr>
          <w:sz w:val="24"/>
          <w:szCs w:val="24"/>
        </w:rPr>
        <w:t>. </w:t>
      </w:r>
      <w:r w:rsidR="00C65DC3" w:rsidRPr="00C65DC3">
        <w:rPr>
          <w:rFonts w:ascii="Times New Roman" w:hAnsi="Times New Roman" w:cs="Times New Roman"/>
          <w:sz w:val="24"/>
          <w:szCs w:val="24"/>
        </w:rPr>
        <w:t>In doing so, persons are living in a world where algorithms control most of the things that they do (Tufecki, 2017). Thus, Tufekci is critical that AI is being used for digital surveillance without the knowledge of internet users. The digital work is tailored such that AI algorithms can manipulate persons using their weaknesses highlighted from their internet activities. I will argue that the ethic framework was morally problematic since the code is only applicable to real persons and business while regarding the influence of non-human entities such as machines, and Tufckei should have incorporated the implications of machinery that engineers operate to promote high standards of practice. </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w:t>
      </w:r>
      <w:r w:rsidRPr="00C65DC3">
        <w:rPr>
          <w:rFonts w:ascii="Times New Roman" w:hAnsi="Times New Roman" w:cs="Times New Roman"/>
          <w:b/>
          <w:bCs/>
          <w:sz w:val="24"/>
          <w:szCs w:val="24"/>
        </w:rPr>
        <w:t>Conceptual Framework for the Code of Ethics</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In addition, the National Society of Professional Engineers (NSPE) postulates that engineers are required to maintain the highest standards of integrity and honesty. The code stipulates that engineers should be ready to accept personal responsibility in their lines of service; thus, they are required to seek indemnification in cases where their interests cannot be safeguarded (National Society of Professional Engineers, 2007). In this case, engineers are the ones that are developing the algorithms. However, if companies such as Facebook and Google </w:t>
      </w:r>
      <w:r w:rsidRPr="00C65DC3">
        <w:rPr>
          <w:rFonts w:ascii="Times New Roman" w:hAnsi="Times New Roman" w:cs="Times New Roman"/>
          <w:sz w:val="24"/>
          <w:szCs w:val="24"/>
        </w:rPr>
        <w:lastRenderedPageBreak/>
        <w:t>use AI technology to mine the data of their users for their commercial and social interests, engineers are required to not to conform to the needs of non-engineers. From a moral standpoint, the companies are using the algorithms with they are knowledgeable that they are less likely to have legal implications on them. Therefore, the code emphasizes that engineers should refrain from association with non-engineers to advance practices that breach the confidentiality and integrity of people’s data. </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sz w:val="24"/>
          <w:szCs w:val="24"/>
        </w:rPr>
        <w:t>Moreover, the IEE code of ethics reiterates the need for appropriate management of technology to promote optimal quality of life. The code emphasizes that engineers should strive to uphold the wellbeing of the public with regards to the ethicality of their designs (IEEE, n. d). Their designs should promote sustainable development. The guidelines and regulations show that engineers for Facebook, Amazon, and Google are not complying with this standard since there can navigate the regulatory principles governing AI to achieve unethical designs. The code also postulates that engineers are required to disclose situational factors in their design implementation that can impact the public negatively. </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sz w:val="24"/>
          <w:szCs w:val="24"/>
        </w:rPr>
        <w:t xml:space="preserve">On the other hand, the ACM code of ethics and professional behavior requires that all members, including associates, voting partners, and students should follow certain guidelines related to their practice. The engineers of Facebook and Google have violated the ACM code since the regulatory framework stipulates that they should promote human wellbeing. Even though data mining does not affect human wellbeing directly, engineers are required to safeguard their rights. The code aims to reduce the negative implications associated with computing systems. Thereby, computing systems to monitor people’s data illegally should not be condoned since it causes harm to them. The harm is in the form of undesirable monitoring of data, intentional manipulation of data, and purging of information for commercial purposes (ACM </w:t>
      </w:r>
      <w:r w:rsidRPr="00C65DC3">
        <w:rPr>
          <w:rFonts w:ascii="Times New Roman" w:hAnsi="Times New Roman" w:cs="Times New Roman"/>
          <w:sz w:val="24"/>
          <w:szCs w:val="24"/>
        </w:rPr>
        <w:lastRenderedPageBreak/>
        <w:t>Council, 1992). The codes mentioned above focus on professional services that are real persons perform in engineering settings. The real persons are the ones that are required to implement the principles within their respective workplaces.</w:t>
      </w:r>
    </w:p>
    <w:p w:rsidR="00C65DC3" w:rsidRDefault="006D11A7" w:rsidP="00C65DC3">
      <w:pPr>
        <w:spacing w:line="480" w:lineRule="auto"/>
        <w:ind w:firstLine="720"/>
        <w:rPr>
          <w:rFonts w:ascii="Times New Roman" w:hAnsi="Times New Roman" w:cs="Times New Roman"/>
          <w:b/>
          <w:bCs/>
          <w:sz w:val="24"/>
          <w:szCs w:val="24"/>
        </w:rPr>
      </w:pPr>
      <w:r w:rsidRPr="00C65DC3">
        <w:rPr>
          <w:rFonts w:ascii="Times New Roman" w:hAnsi="Times New Roman" w:cs="Times New Roman"/>
          <w:b/>
          <w:bCs/>
          <w:sz w:val="24"/>
          <w:szCs w:val="24"/>
        </w:rPr>
        <w:t>Armstrong’s</w:t>
      </w:r>
      <w:r w:rsidR="00C65DC3" w:rsidRPr="00C65DC3">
        <w:rPr>
          <w:rFonts w:ascii="Times New Roman" w:hAnsi="Times New Roman" w:cs="Times New Roman"/>
          <w:b/>
          <w:bCs/>
          <w:sz w:val="24"/>
          <w:szCs w:val="24"/>
        </w:rPr>
        <w:t xml:space="preserve"> Conceptual Framework</w:t>
      </w:r>
    </w:p>
    <w:p w:rsidR="00DF0FBE" w:rsidRPr="00DF0FBE" w:rsidRDefault="006D11A7" w:rsidP="00DF0FBE">
      <w:pPr>
        <w:spacing w:line="480" w:lineRule="auto"/>
        <w:ind w:firstLine="720"/>
        <w:rPr>
          <w:rFonts w:ascii="Times New Roman" w:hAnsi="Times New Roman" w:cs="Times New Roman"/>
          <w:bCs/>
          <w:sz w:val="24"/>
          <w:szCs w:val="24"/>
        </w:rPr>
      </w:pPr>
      <w:r w:rsidRPr="00DF0FBE">
        <w:rPr>
          <w:rFonts w:ascii="Times New Roman" w:hAnsi="Times New Roman" w:cs="Times New Roman"/>
          <w:bCs/>
          <w:sz w:val="24"/>
          <w:szCs w:val="24"/>
        </w:rPr>
        <w:t>Armstrong</w:t>
      </w:r>
      <w:r w:rsidR="00DF0FBE" w:rsidRPr="00DF0FBE">
        <w:rPr>
          <w:rFonts w:ascii="Times New Roman" w:hAnsi="Times New Roman" w:cs="Times New Roman"/>
          <w:bCs/>
          <w:sz w:val="24"/>
          <w:szCs w:val="24"/>
        </w:rPr>
        <w:t xml:space="preserve"> is opined that maintaining high levels of confidentiality in workplace settings has become prevalent that it has sparked public interest. From a deontological standpoint, confidentiality is essential since it fosters privacy and keeping promises. However, the utilitarian principle emphasizes that professional should be trustworthy since it benefits the members of society. </w:t>
      </w:r>
      <w:r w:rsidRPr="00DF0FBE">
        <w:rPr>
          <w:rFonts w:ascii="Times New Roman" w:hAnsi="Times New Roman" w:cs="Times New Roman"/>
          <w:bCs/>
          <w:sz w:val="24"/>
          <w:szCs w:val="24"/>
        </w:rPr>
        <w:t>Armstrong</w:t>
      </w:r>
      <w:r w:rsidR="00DF0FBE" w:rsidRPr="00DF0FBE">
        <w:rPr>
          <w:rFonts w:ascii="Times New Roman" w:hAnsi="Times New Roman" w:cs="Times New Roman"/>
          <w:bCs/>
          <w:sz w:val="24"/>
          <w:szCs w:val="24"/>
        </w:rPr>
        <w:t xml:space="preserve"> argues that employees are supposed 'to adhere to the prima faci duty. The principle prescribes to the ideology of ensuring equality for all other things (Armstrong, 1994). Therefore, professionals should have knowledge of what they are supposed to do unless there is an overriding situation. The theoretical framework delineates the moral objective of violating a value with the prospect of achieving a credible achievement. Thereby, violation of loyalty principle can only be justified when there is no other alternative to the issue at hand. The violation should align with the primary goal of undertaking the action in the first place. Armstrong argues that the action should minimize the negative impacts of the outcomes as much as possible.  She articulates that the circumstances that cause an engineer to have a moral obligation is when the safety of the public is at stake. De George was critical that engineers in huge corporations are required to whistleblow on the aspects of their products that affect public safety</w:t>
      </w:r>
      <w:r>
        <w:rPr>
          <w:rFonts w:ascii="Times New Roman" w:hAnsi="Times New Roman" w:cs="Times New Roman"/>
          <w:bCs/>
          <w:sz w:val="24"/>
          <w:szCs w:val="24"/>
        </w:rPr>
        <w:t xml:space="preserve"> (Armstrong, 1994)</w:t>
      </w:r>
      <w:r w:rsidR="00DF0FBE" w:rsidRPr="00DF0FBE">
        <w:rPr>
          <w:rFonts w:ascii="Times New Roman" w:hAnsi="Times New Roman" w:cs="Times New Roman"/>
          <w:bCs/>
          <w:sz w:val="24"/>
          <w:szCs w:val="24"/>
        </w:rPr>
        <w:t>. There must be evidence that the harm that will be done to the public is considerable. Firstly, they are supposed to report to their immediate bosses and be satisfied that the action taken is appropriate.</w:t>
      </w:r>
    </w:p>
    <w:p w:rsidR="00DF0FBE" w:rsidRPr="00DF0FBE" w:rsidRDefault="00DF0FBE" w:rsidP="00DF0FBE">
      <w:pPr>
        <w:spacing w:line="480" w:lineRule="auto"/>
        <w:ind w:firstLine="720"/>
        <w:rPr>
          <w:rFonts w:ascii="Times New Roman" w:hAnsi="Times New Roman" w:cs="Times New Roman"/>
          <w:bCs/>
          <w:sz w:val="24"/>
          <w:szCs w:val="24"/>
        </w:rPr>
      </w:pPr>
      <w:r w:rsidRPr="00DF0FBE">
        <w:rPr>
          <w:rFonts w:ascii="Times New Roman" w:hAnsi="Times New Roman" w:cs="Times New Roman"/>
          <w:bCs/>
          <w:sz w:val="24"/>
          <w:szCs w:val="24"/>
        </w:rPr>
        <w:lastRenderedPageBreak/>
        <w:t>From the case analysis, engineers working at Google, Amazon, and Facebook can subscribe to the deontological principle that since there is an overriding circumstance in their case. The infringement of the users' privacy and confidentiality regarding their browsing activities is justified enough for them going public. In this case, the prospective achievement will be that their respective companies will stop to mine the data of their uses for their private interests. Besides, data mining activities have been prevalent, and other companies are starting to adopt the practice despite government knowledge. The engineers going public will be the only alternative since the highest form of authority in the country also benefits from the same (Armstrong, 1994). Going public will give the masses comprehensive insight into the issue. As a result, they can mobilize each other to mitigate the same. However, the companies' lack of evidence of harm can be an inhibitory factor in solving the issue.</w:t>
      </w:r>
    </w:p>
    <w:p w:rsidR="00DF0FBE" w:rsidRPr="00DF0FBE" w:rsidRDefault="00DF0FBE" w:rsidP="00DF0FBE">
      <w:pPr>
        <w:spacing w:line="480" w:lineRule="auto"/>
        <w:ind w:firstLine="720"/>
        <w:rPr>
          <w:rFonts w:ascii="Times New Roman" w:hAnsi="Times New Roman" w:cs="Times New Roman"/>
          <w:bCs/>
          <w:sz w:val="24"/>
          <w:szCs w:val="24"/>
        </w:rPr>
      </w:pPr>
      <w:r w:rsidRPr="00DF0FBE">
        <w:rPr>
          <w:rFonts w:ascii="Times New Roman" w:hAnsi="Times New Roman" w:cs="Times New Roman"/>
          <w:bCs/>
          <w:sz w:val="24"/>
          <w:szCs w:val="24"/>
        </w:rPr>
        <w:t>I am opined that the engineers should do the right thing and end the scourge of data mining that makes the lives of people to be less private in contemporary America. They can accomplish this by providing evidence to law enforcement on the operations of their companies. Shunning the need to be loyal to a company that does not take into account the safety and the interests of the public justified based on both the deontological and utilitarian principles.</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b/>
          <w:bCs/>
          <w:sz w:val="24"/>
          <w:szCs w:val="24"/>
        </w:rPr>
        <w:t>Conclusion</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sz w:val="24"/>
          <w:szCs w:val="24"/>
        </w:rPr>
        <w:t xml:space="preserve">I am opined that there should code of ethics that also governs how non-human metrics such as AI in such a way that the developers are implicated. Asimov’s code of ethics is an alternate code that forbids robots from causing harm to humans by refusing to act according to human instructions. If the AI-powered data analytics tools cannot obey the instructions that they meant to perform, the usage should be ceased. However, this is not the case since companies </w:t>
      </w:r>
      <w:r w:rsidRPr="00C65DC3">
        <w:rPr>
          <w:rFonts w:ascii="Times New Roman" w:hAnsi="Times New Roman" w:cs="Times New Roman"/>
          <w:sz w:val="24"/>
          <w:szCs w:val="24"/>
        </w:rPr>
        <w:lastRenderedPageBreak/>
        <w:t>such as Facebook, Google, and Amazon are using them purposefully to collect their users’ data. The approach will ensure that the aforementioned companies acquire the consent of the users before using their data for any purpose whatsoever. However, the argument can be problematic since the code of ethics applying to machines can be dismissed based on their non-intuitive and unnatural nature.  </w:t>
      </w:r>
    </w:p>
    <w:p w:rsidR="002B73AB" w:rsidRDefault="002B73AB">
      <w:pPr>
        <w:rPr>
          <w:rFonts w:ascii="Times New Roman" w:hAnsi="Times New Roman" w:cs="Times New Roman"/>
          <w:b/>
          <w:bCs/>
          <w:sz w:val="24"/>
          <w:szCs w:val="24"/>
        </w:rPr>
      </w:pPr>
      <w:r>
        <w:rPr>
          <w:rFonts w:ascii="Times New Roman" w:hAnsi="Times New Roman" w:cs="Times New Roman"/>
          <w:b/>
          <w:bCs/>
          <w:sz w:val="24"/>
          <w:szCs w:val="24"/>
        </w:rPr>
        <w:br w:type="page"/>
      </w:r>
    </w:p>
    <w:p w:rsidR="00C65DC3" w:rsidRPr="00C65DC3" w:rsidRDefault="00C65DC3" w:rsidP="002B73AB">
      <w:pPr>
        <w:spacing w:line="480" w:lineRule="auto"/>
        <w:jc w:val="center"/>
        <w:rPr>
          <w:rFonts w:ascii="Times New Roman" w:hAnsi="Times New Roman" w:cs="Times New Roman"/>
          <w:sz w:val="24"/>
          <w:szCs w:val="24"/>
        </w:rPr>
      </w:pPr>
      <w:r w:rsidRPr="00C65DC3">
        <w:rPr>
          <w:rFonts w:ascii="Times New Roman" w:hAnsi="Times New Roman" w:cs="Times New Roman"/>
          <w:b/>
          <w:bCs/>
          <w:sz w:val="24"/>
          <w:szCs w:val="24"/>
        </w:rPr>
        <w:lastRenderedPageBreak/>
        <w:t>Case Study on Whistleblowing</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b/>
          <w:bCs/>
          <w:sz w:val="24"/>
          <w:szCs w:val="24"/>
        </w:rPr>
        <w:t>           Introductory Paragraph</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The case study highlights the violation of the code of secrecy by a 29-year-old man who was working at the CIA as a technical assistant. Snowden has worked for the National Security Agency (NSA) for the last few years but decided to reveal a set of documents that were most likely to be consequential (Greenswald, MacAskill, &amp; Poitras, 2013). He has acted as a whistleblower, but he is critical that he violated the Espionage Act. Therefore, the U.S government is likely to come after him in a bid to prosecute and incarcerate him. He had his own political ideologies on war and believed that it was unethical for the U.S government to send troops to kill people in foreign lands. In this regard, I argue that the ethical tools show that Bowden did act out of loyalty to the United States and his actions were a moral case of whistleblowing. </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b/>
          <w:bCs/>
          <w:sz w:val="24"/>
          <w:szCs w:val="24"/>
        </w:rPr>
        <w:t>Vanderkerckhove’s Conceptual Framework</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The analysis of the case study using the conceptual framework shows that the complexity of the NSA’s and CIA’s settings plays an integral part in the delineation of the moral viewpoint. In this regard, it is the responsibility of the top management to make certain paramount decisions, but there is a need for decentralization to enable more people to participate in the decision-making process. The theoretical analysis of the ethical dilemma in the case can be reinforced from Duska’s argument that employees’ loyalty to their respective organizations is a categorical mistake. The argument is based on the fact that corporates are not themselves huge fans of loyalty. Therefore, there is no conflict of interest when a person decides to stay loyal or blow the whistle on certain dirty happenings (Vandekerchhove &amp; Commers, 2004). Therefore, </w:t>
      </w:r>
      <w:r w:rsidRPr="00C65DC3">
        <w:rPr>
          <w:rFonts w:ascii="Times New Roman" w:hAnsi="Times New Roman" w:cs="Times New Roman"/>
          <w:sz w:val="24"/>
          <w:szCs w:val="24"/>
        </w:rPr>
        <w:lastRenderedPageBreak/>
        <w:t>Duska is critical that if a person should be loyal to their organizations, they should be granted the same status as the business. Also, he reiterates that persons are expected to self-sacrifice themselves without proper rewards from the organization. However, Corvinho refutes Duska’s argument by stating that employment is enough reward for persons to stay loyal to their companies. Besides, he also presents a counterargument that corporates are also groups of persons. Notably, the consensus was that those persons have no conflict of interest for a person who wants to stay loyal or blow the whistle. </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Thereby, the actions that Snowden undertook creates an ethical dilemma based on the complexity of the NSA that strives to protect the United States of America (U.S.A) from acts of terrorism. Therefore, the nature of the information disclosed can have negative implications on the security systems put in place to prevent the same. Also, Snowden was faced with a conflict of interest of remaining loyal to the NSA by remaining quiet or violating the Espionage Act by whistleblowing. His actions can be deemed to be unpatriotic, but in the real sense, he wanted to show Americans the dirty secrets that the government uses during wars. Thereby, he is showing loyalty to his country by disclosing information that is likely to taint the positive image of the country. He wanted to advance the ideology of America dream despite receiving a hefty salary of $200,000 per month (Greenwald, MacAskill, &amp; Poitras, 2013). From Duska’s viewpoint, he does not have the same status as the NSA; therefore, he has no obligation to remain loyal to them. </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In addition, Snowden did the right thing as evidence from his recount of how blowing the whistle will have negative impacts on him and his family. He is critical that he is being spied on the law enforcement officers will arrest him. The phenomenon shows that the theory’s argument is valid since the NSA is the one that is required to extend the same loyalty that Snowden has shown them throughout the years before it prosecutes him. The NSA is made of a group of </w:t>
      </w:r>
      <w:r w:rsidRPr="00C65DC3">
        <w:rPr>
          <w:rFonts w:ascii="Times New Roman" w:hAnsi="Times New Roman" w:cs="Times New Roman"/>
          <w:sz w:val="24"/>
          <w:szCs w:val="24"/>
        </w:rPr>
        <w:lastRenderedPageBreak/>
        <w:t>individuals, and it is not the entities’ name that is supposed to protect Snowden. If it fails to protect Snowden, it shows that he was right to whistleblow since he had to stay loyal to an organization to an organization that was not willing to do the same for him.</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b/>
          <w:bCs/>
          <w:sz w:val="24"/>
          <w:szCs w:val="24"/>
        </w:rPr>
        <w:t>Oxley’s and Wittkower’s Theoretical Framework</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b/>
          <w:bCs/>
          <w:sz w:val="24"/>
          <w:szCs w:val="24"/>
        </w:rPr>
        <w:t>           </w:t>
      </w:r>
      <w:r w:rsidRPr="00C65DC3">
        <w:rPr>
          <w:rFonts w:ascii="Times New Roman" w:hAnsi="Times New Roman" w:cs="Times New Roman"/>
          <w:sz w:val="24"/>
          <w:szCs w:val="24"/>
        </w:rPr>
        <w:t>The two authors argue that conflict is a product of care, and depends on the magnitude of affection and commitment that a person has towards an organization. Therefore, loyalty should be perceived as a form of interdependence and not a one-way thing. The argument diverges towards Simon Keller’s supposition that there is an interplay between loyalty and emotional feelings (Oxley &amp; Wittkower, 2011). Thus, the decision to be loyal depends on a person’s motivations and feelings. The theorist argues that people do not have direct control over their emotions, and this impacts their decision-making significantly. The article articulately explains that the level of loyalty is not reflective of the choices that people make. Keller emphasizes that there are a plethora of ways, and this does not entail prioritizing their interests. In this regard, the article warns against crucifying people for expressing their loyalty in a way that is injurious to the reputation of a certain small group of individuals. Besides, the theory gives light into the controversial nature of the contractual nature of the working environment. The contracts do not take into account the nature of the relationship between the employee to others, such as colleagues, family, and countrymen.</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Additionally, Snowden acted in accordance with his emotions and the need to ensure that his country prescribed to holistic ethical codes during geopolitical conflicts. The victim made the message to disclose NSA documents on the activities in foreign countries with regards to emotions of the wrongness of its acts (Greenswald, MacAskill, &amp; Poitras, 2013). Therefore, there </w:t>
      </w:r>
      <w:r w:rsidRPr="00C65DC3">
        <w:rPr>
          <w:rFonts w:ascii="Times New Roman" w:hAnsi="Times New Roman" w:cs="Times New Roman"/>
          <w:sz w:val="24"/>
          <w:szCs w:val="24"/>
        </w:rPr>
        <w:lastRenderedPageBreak/>
        <w:t>was a conflict between his loyalty and emotions. As much as he had signed a contract to uphold high levels of confidentiality, he saw that being loyal was doing no good to his country people and the great nation of America. Whistleblowing was one way of Snowden tried to show his loyalty to his country, but this does not mean that he was non-loyal to the NSA. He has had been loyal to the agency for the four years that he had worked there, but his emotions most likely took center stage with regards to his feelings that what the government was doing was wrong. Therefore, the interdependence nature of the relationship between Snowden and NSA shows that the former was not disinterested to know whether the former acted out of disruptive emotions.  </w:t>
      </w:r>
    </w:p>
    <w:p w:rsid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Furthermore, I think that what Snowden did was right since he based his decision on his emotional attachments to the people of America. He perceived that he had a moral duty to disclose the dirty secrets of the NSA in a bid to safeguard the interests of the country and its people. Therefore, his loyalty was affected by the emotions that he was experiencing at the time of making the decision. His love and patriotism to the U.S.A made him risk his life to ensure that America’s fabric of ethicality and morality does not continue to be dirtied to protect the government’s political interests. He prescribed to highest standards of morality and ethicality to defy his allegiance to the NSA to demonstrate what the government was doing in countries such as Iran was unacceptable. </w:t>
      </w:r>
    </w:p>
    <w:p w:rsidR="00C65DC3" w:rsidRPr="00C65DC3" w:rsidRDefault="00C65DC3" w:rsidP="00C65DC3">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C65DC3">
        <w:rPr>
          <w:rFonts w:ascii="Times New Roman" w:hAnsi="Times New Roman" w:cs="Times New Roman"/>
          <w:b/>
          <w:sz w:val="24"/>
          <w:szCs w:val="24"/>
        </w:rPr>
        <w:t>Conclusion</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Conclusively, I am opined that Snowden acted in the best interest of Americans by not showing loyalty to the NSA, but giving insight into the ills that they propagate through their engagement in wars. However, Corvinho’s argument is still valid since the FBI is also a group of people that have the same status as Snow. Thus, he cannot be conferred the same status as NSA </w:t>
      </w:r>
      <w:r w:rsidRPr="00C65DC3">
        <w:rPr>
          <w:rFonts w:ascii="Times New Roman" w:hAnsi="Times New Roman" w:cs="Times New Roman"/>
          <w:sz w:val="24"/>
          <w:szCs w:val="24"/>
        </w:rPr>
        <w:lastRenderedPageBreak/>
        <w:t>based on the complexity of the organization. The argument is agreeable since he does not have a conflict of interest when it comes to be loyal to the NSA or blow the whistle for the wellbeing of the American people. Acts of aggression involving the killing of other people can someday backfire, and the U.S.A forced to atone for her sins. It is the Americans that will suffer the actions of the dirty government, and Snowden’s decision is validated since it has helped provide insight into the hidden security details that affect them directly. </w:t>
      </w:r>
    </w:p>
    <w:p w:rsidR="002B73AB" w:rsidRDefault="002B73AB">
      <w:pPr>
        <w:rPr>
          <w:rFonts w:ascii="Times New Roman" w:hAnsi="Times New Roman" w:cs="Times New Roman"/>
          <w:b/>
          <w:bCs/>
          <w:sz w:val="24"/>
          <w:szCs w:val="24"/>
        </w:rPr>
      </w:pPr>
      <w:r>
        <w:rPr>
          <w:rFonts w:ascii="Times New Roman" w:hAnsi="Times New Roman" w:cs="Times New Roman"/>
          <w:b/>
          <w:bCs/>
          <w:sz w:val="24"/>
          <w:szCs w:val="24"/>
        </w:rPr>
        <w:br w:type="page"/>
      </w:r>
    </w:p>
    <w:p w:rsidR="00C65DC3" w:rsidRPr="00C65DC3" w:rsidRDefault="00C65DC3" w:rsidP="002B73AB">
      <w:pPr>
        <w:spacing w:line="480" w:lineRule="auto"/>
        <w:jc w:val="center"/>
        <w:rPr>
          <w:rFonts w:ascii="Times New Roman" w:hAnsi="Times New Roman" w:cs="Times New Roman"/>
          <w:sz w:val="24"/>
          <w:szCs w:val="24"/>
        </w:rPr>
      </w:pPr>
      <w:r w:rsidRPr="00C65DC3">
        <w:rPr>
          <w:rFonts w:ascii="Times New Roman" w:hAnsi="Times New Roman" w:cs="Times New Roman"/>
          <w:b/>
          <w:bCs/>
          <w:sz w:val="24"/>
          <w:szCs w:val="24"/>
        </w:rPr>
        <w:lastRenderedPageBreak/>
        <w:t>Case Study of Cyber Conflict</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b/>
          <w:bCs/>
          <w:sz w:val="24"/>
          <w:szCs w:val="24"/>
        </w:rPr>
        <w:t>           Introductory Paragraph</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b/>
          <w:bCs/>
          <w:sz w:val="24"/>
          <w:szCs w:val="24"/>
        </w:rPr>
        <w:t>           </w:t>
      </w:r>
      <w:r w:rsidRPr="00C65DC3">
        <w:rPr>
          <w:rFonts w:ascii="Times New Roman" w:hAnsi="Times New Roman" w:cs="Times New Roman"/>
          <w:sz w:val="24"/>
          <w:szCs w:val="24"/>
        </w:rPr>
        <w:t>The discovery of Stuxnet that had infected almost fourteen industrial sites, including a uranium firm helped to mitigate the country’s efforts to develop nuclear technology. The antivirus took the form of a worm and targeted software in a bid to spy industrial frameworks. The spyware has been since associated with the countries such as the U.S.A and Israel alluding to weaponized viruses (Kushner, 2013). The virus was used for malicious purposes to tilt the balance of geopolitical conflicts towards the side of some superpower nations. Research on the same showed that persons had been forced to sign the release of the virus in private digital forums. Kin the end, it was determined that the virus was created to subvert the systems that Siemens was using to advance nuclear-enrichment programs in Iran. From this case study, I will argue that the ethical framework shows that the cyberwar that President Trump inherited was not ethically sound since it always aims to thwart the efforts their enemies to advance their weapon technology.</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b/>
          <w:bCs/>
          <w:sz w:val="24"/>
          <w:szCs w:val="24"/>
        </w:rPr>
        <w:t>Boylan’s Theoretical Framework</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The article challenges the original conception of war with regards to what constitutes the same. The article suggests that this is a matter that should be treated separately based on regulatory structures that should be put in place. In doing so, there will be proper responses to the same, especially criminal sabotage. Challenges have emerged that prevent nations such as the U.S. from staying neutral and sustaining sovereignty while at the same responding proportionately. The expansion of traditional paradigms will promote attribution. Countries and people will be able to determine the perpetrators and the victims. The outcomes of war should </w:t>
      </w:r>
      <w:r w:rsidRPr="00C65DC3">
        <w:rPr>
          <w:rFonts w:ascii="Times New Roman" w:hAnsi="Times New Roman" w:cs="Times New Roman"/>
          <w:sz w:val="24"/>
          <w:szCs w:val="24"/>
        </w:rPr>
        <w:lastRenderedPageBreak/>
        <w:t>not be pinged on the physical events but also the digital phenomena. The privacy that is associated with the contemporary digital world makes black-hat attackers hide their identities, and so is the government. Also, targets need to be distinguished to ensure that the warring factions only attack military systems and any other civilians that are facilitating the cyber-attacks (Boylan, 2011). The concept of neutrality is also under scrutiny since countries cannot hide nowadays under physical territorial frameworks, but can access any part of the world. The phenomenon is facilitated by the widespread internet broadband. Lastly, the authors argue that it is difficult to respond effectively to cyber-attacks since the perpetrators are likely to be anonymous. Therefore, the case study presents a very interesting case of an attack that was most probably carried out on Iran by one of the developed countries. The U.S.A and Israel were the main suspects in this incident. The suspicion is justified based on the geopolitical conflicts that the two countries have been involved in with the Asian countries such as Iran. The Stuxnet was a weaponized virus that aimed to thwart Iran’s efforts in advancing her nuclear technology (Kushner, 2013). The person or entity that sent the virus was anonymous, and the impacts were detrimental. There were no physical damages, but computer systems of almost 14 industrial firms were shut down. Other countries could have responded to this act of aggression; they chose the neutrality card based on limitless border bounders due to the internet. Others could not intervene since firstly, they did not know who made the cyber-attack, and secondly, they did not want to engage in geopolitical warfare. Besides, the person that attacked Siemens ought to only punish the persons involved instead of other subsidiary firms that were not part of the scheme.</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Analyzing the case shows that there are moral and ethical underpinnings that have been breached with regards to the response mechanisms. Therefore, I am against what the “Trump government” did to counterattack the nuclear-enrichment scheme. Trump inherited a government </w:t>
      </w:r>
      <w:r w:rsidRPr="00C65DC3">
        <w:rPr>
          <w:rFonts w:ascii="Times New Roman" w:hAnsi="Times New Roman" w:cs="Times New Roman"/>
          <w:sz w:val="24"/>
          <w:szCs w:val="24"/>
        </w:rPr>
        <w:lastRenderedPageBreak/>
        <w:t>that has been carrying out acts of aggression to other nation while hiding under the anonymity of the internet. The government should have responded responsibly by using transparent warfare systems that promote high standards of accountability. Hiding behind digital frameworks shows that the United States’ government support cyber-attacks as a tactic of war.</w:t>
      </w:r>
    </w:p>
    <w:p w:rsidR="00C65DC3" w:rsidRPr="00C65DC3" w:rsidRDefault="00C65DC3" w:rsidP="00C65DC3">
      <w:pPr>
        <w:spacing w:line="480" w:lineRule="auto"/>
        <w:ind w:firstLine="720"/>
        <w:rPr>
          <w:rFonts w:ascii="Times New Roman" w:hAnsi="Times New Roman" w:cs="Times New Roman"/>
          <w:sz w:val="24"/>
          <w:szCs w:val="24"/>
        </w:rPr>
      </w:pPr>
      <w:r w:rsidRPr="00C65DC3">
        <w:rPr>
          <w:rFonts w:ascii="Times New Roman" w:hAnsi="Times New Roman" w:cs="Times New Roman"/>
          <w:b/>
          <w:bCs/>
          <w:sz w:val="24"/>
          <w:szCs w:val="24"/>
        </w:rPr>
        <w:t>Taddeo’s Theoretical Framework</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b/>
          <w:bCs/>
          <w:sz w:val="24"/>
          <w:szCs w:val="24"/>
        </w:rPr>
        <w:t>           </w:t>
      </w:r>
      <w:r w:rsidRPr="00C65DC3">
        <w:rPr>
          <w:rFonts w:ascii="Times New Roman" w:hAnsi="Times New Roman" w:cs="Times New Roman"/>
          <w:sz w:val="24"/>
          <w:szCs w:val="24"/>
        </w:rPr>
        <w:t>The article disputes the “Just a War” theory that is normally used to solve warfare while not taking into account the ethical vacuum that is associated with it. The theory does not apply to cyber warfare since it upholds the justification of only fighting as a last resort. Cyberwarfare creates an ethical dilemma based on the tendency of information being used as a resource (Taddeo, 2012). The informational sphere is inanimate, thus, creates challenges when it should be evaluated using moral values and ideologies. Therefore, there should be a holistic policy framework that regulates how information is used in a bid to ensure high standards of ethicality. The framework needs to be based on the rights of the informational organizations that are victims of cyber warfare. The author is critical that informational entities lose their rights when it comes to the infosphere. Also, the proposed informational utilization framework will ensure that war is only waged on persons or entities that disrupt the welfare of the informational space. Thus, countries should engage in this kind of war to promote the wellbeing of the information space, and not as some form of aggression. </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If the U.S. was the one that was responsible for the cyber-attack on Iran-based Siemen’s technology, then it prescribed to the traditional paradigm of war as a last resort. The geopolitical conflict between the U.S. and Iran necessitated the former to use the Stuxnet as a precautionary measure (Kushner, 2013). In the face of the digital informational sphere, this kind of war has </w:t>
      </w:r>
      <w:r w:rsidRPr="00C65DC3">
        <w:rPr>
          <w:rFonts w:ascii="Times New Roman" w:hAnsi="Times New Roman" w:cs="Times New Roman"/>
          <w:sz w:val="24"/>
          <w:szCs w:val="24"/>
        </w:rPr>
        <w:lastRenderedPageBreak/>
        <w:t>ethical anomalies that render it inappropriate. The information on the weapon-enrichment program as a resource to the government of Iran, and using a counter cyber-attack was not recommending. Transmitting the spyware to attack the computer systems that Siemens used was unethical since it was a violation of rights that promote the sustenance of the informational sphere. The unregulated nature of the infosphere is a recipe for disaster since countries like the U.S. such acts of aggression can cause retaliation that can spark another world war. The acts of the U.S. or Israel cannot be justified prescribing to Taddeo’s school of thought. Cyberwarfare should only be initiated if it will promote the wellbeing of the information sphere. The attack, in this case, was done to promote the interest of the Trump government. The current government inherited a system where such kinds of attacks were not such a big issue alluding to the need to ensure a seamless security framework against terrorism.</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From a personal standpoint, I think that the cyber-attack on Iran was unethical since violated the rights of the informational entity responsible for the program. The response was unnecessary since it caused massive loss to Siemens while the attack was supposed to be directed to the government. The alternative of employing traditional paradigms of “War Theory” is not applicable in this case since it involves an inanimate issue. The aggression can have a far-reaching consequence when Iran decides to retaliate with a similar attack.</w:t>
      </w:r>
    </w:p>
    <w:p w:rsidR="00C65DC3" w:rsidRPr="00C65DC3" w:rsidRDefault="00C65DC3" w:rsidP="00C65DC3">
      <w:pPr>
        <w:spacing w:line="480" w:lineRule="auto"/>
        <w:rPr>
          <w:rFonts w:ascii="Times New Roman" w:hAnsi="Times New Roman" w:cs="Times New Roman"/>
          <w:sz w:val="24"/>
          <w:szCs w:val="24"/>
        </w:rPr>
      </w:pPr>
      <w:r w:rsidRPr="00C65DC3">
        <w:rPr>
          <w:rFonts w:ascii="Times New Roman" w:hAnsi="Times New Roman" w:cs="Times New Roman"/>
          <w:sz w:val="24"/>
          <w:szCs w:val="24"/>
        </w:rPr>
        <w:t>           </w:t>
      </w:r>
      <w:r w:rsidRPr="00C65DC3">
        <w:rPr>
          <w:rFonts w:ascii="Times New Roman" w:hAnsi="Times New Roman" w:cs="Times New Roman"/>
          <w:b/>
          <w:bCs/>
          <w:sz w:val="24"/>
          <w:szCs w:val="24"/>
        </w:rPr>
        <w:t>Conclusion</w:t>
      </w:r>
    </w:p>
    <w:p w:rsidR="002C1E24" w:rsidRDefault="00C65DC3" w:rsidP="00C612D4">
      <w:pPr>
        <w:spacing w:line="480" w:lineRule="auto"/>
        <w:rPr>
          <w:rFonts w:ascii="Times New Roman" w:hAnsi="Times New Roman" w:cs="Times New Roman"/>
          <w:sz w:val="24"/>
          <w:szCs w:val="24"/>
        </w:rPr>
      </w:pPr>
      <w:r w:rsidRPr="00C65DC3">
        <w:rPr>
          <w:rFonts w:ascii="Times New Roman" w:hAnsi="Times New Roman" w:cs="Times New Roman"/>
          <w:sz w:val="24"/>
          <w:szCs w:val="24"/>
        </w:rPr>
        <w:t xml:space="preserve">           I am opined that the regulations governing traditional warfare paradigms should be redefined since the current cyber-attacks involves informational spheres that are hard to regulate. The theory of war as a last resort are contrary to the argument mentioned above explicitly; thus, there is a need for novel policy frameworks that upholds the rights of informational entities. The </w:t>
      </w:r>
      <w:r w:rsidRPr="00C65DC3">
        <w:rPr>
          <w:rFonts w:ascii="Times New Roman" w:hAnsi="Times New Roman" w:cs="Times New Roman"/>
          <w:sz w:val="24"/>
          <w:szCs w:val="24"/>
        </w:rPr>
        <w:lastRenderedPageBreak/>
        <w:t>theory is null and void in the context of cyber warfare since there is no substantial evidence of an act of aggression alluding the fact the perpetrators are always anonymous. The argument presented above can go a long way to mitigate geopolitical conflicts. The Trump government should look for better alternatives against its cyber aggressors. The uncensored cyber-attacks on its enemies pose more threat to the country. Even though the country can thrive in her technological aggression, the rampant digital transformation can see countries such as Iran subduing the cyberspace status quo. The ramifications of the same can be dir</w:t>
      </w:r>
      <w:r w:rsidR="00DF0FBE">
        <w:rPr>
          <w:rFonts w:ascii="Times New Roman" w:hAnsi="Times New Roman" w:cs="Times New Roman"/>
          <w:sz w:val="24"/>
          <w:szCs w:val="24"/>
        </w:rPr>
        <w:t>e to America and its people.</w:t>
      </w:r>
    </w:p>
    <w:p w:rsidR="002C1E24" w:rsidRDefault="002C1E24" w:rsidP="00C612D4">
      <w:pPr>
        <w:spacing w:line="480" w:lineRule="auto"/>
        <w:rPr>
          <w:rFonts w:ascii="Times New Roman" w:hAnsi="Times New Roman" w:cs="Times New Roman"/>
          <w:sz w:val="24"/>
          <w:szCs w:val="24"/>
        </w:rPr>
      </w:pPr>
    </w:p>
    <w:p w:rsidR="002B73AB" w:rsidRDefault="002B73AB">
      <w:pPr>
        <w:rPr>
          <w:rFonts w:ascii="Times New Roman" w:hAnsi="Times New Roman" w:cs="Times New Roman"/>
          <w:sz w:val="24"/>
          <w:szCs w:val="24"/>
        </w:rPr>
      </w:pPr>
      <w:r>
        <w:rPr>
          <w:rFonts w:ascii="Times New Roman" w:hAnsi="Times New Roman" w:cs="Times New Roman"/>
          <w:sz w:val="24"/>
          <w:szCs w:val="24"/>
        </w:rPr>
        <w:br w:type="page"/>
      </w:r>
    </w:p>
    <w:p w:rsidR="001A6357" w:rsidRDefault="002C1E24" w:rsidP="001A63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D4C1F" w:rsidRDefault="002C1E24" w:rsidP="001A6357">
      <w:pPr>
        <w:spacing w:line="480" w:lineRule="auto"/>
        <w:rPr>
          <w:rFonts w:ascii="Times New Roman" w:hAnsi="Times New Roman" w:cs="Times New Roman"/>
          <w:sz w:val="24"/>
          <w:szCs w:val="24"/>
        </w:rPr>
      </w:pPr>
      <w:r>
        <w:rPr>
          <w:rFonts w:ascii="Times New Roman" w:hAnsi="Times New Roman" w:cs="Times New Roman"/>
          <w:sz w:val="24"/>
          <w:szCs w:val="24"/>
        </w:rPr>
        <w:t>ACM Council. (1992). ACM code of ethics and professional conduct. 1-8.</w:t>
      </w:r>
    </w:p>
    <w:p w:rsidR="004D4C1F" w:rsidRDefault="004D4C1F" w:rsidP="001A6357">
      <w:pPr>
        <w:spacing w:line="480" w:lineRule="auto"/>
        <w:rPr>
          <w:rFonts w:ascii="Times New Roman" w:hAnsi="Times New Roman" w:cs="Times New Roman"/>
          <w:sz w:val="24"/>
          <w:szCs w:val="24"/>
        </w:rPr>
      </w:pPr>
      <w:r>
        <w:rPr>
          <w:rFonts w:ascii="Times New Roman" w:hAnsi="Times New Roman" w:cs="Times New Roman"/>
          <w:sz w:val="24"/>
          <w:szCs w:val="24"/>
        </w:rPr>
        <w:t>Armstrong, B. M. (1994). Confidentiality: A comparison across the professions of medicines,</w:t>
      </w:r>
    </w:p>
    <w:p w:rsidR="004D4C1F" w:rsidRDefault="004D4C1F" w:rsidP="001A63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engineering, and accounting. </w:t>
      </w:r>
      <w:r w:rsidRPr="004D4C1F">
        <w:rPr>
          <w:rFonts w:ascii="Times New Roman" w:hAnsi="Times New Roman" w:cs="Times New Roman"/>
          <w:i/>
          <w:sz w:val="24"/>
          <w:szCs w:val="24"/>
        </w:rPr>
        <w:t>Professional Ethics</w:t>
      </w:r>
      <w:r>
        <w:rPr>
          <w:rFonts w:ascii="Times New Roman" w:hAnsi="Times New Roman" w:cs="Times New Roman"/>
          <w:sz w:val="24"/>
          <w:szCs w:val="24"/>
        </w:rPr>
        <w:t xml:space="preserve">, 3(1), 7—89. </w:t>
      </w:r>
    </w:p>
    <w:p w:rsidR="001A6357" w:rsidRDefault="001A6357" w:rsidP="001A6357">
      <w:pPr>
        <w:spacing w:line="480" w:lineRule="auto"/>
        <w:rPr>
          <w:rFonts w:ascii="Times New Roman" w:hAnsi="Times New Roman" w:cs="Times New Roman"/>
          <w:sz w:val="24"/>
          <w:szCs w:val="24"/>
        </w:rPr>
      </w:pPr>
      <w:r>
        <w:rPr>
          <w:rFonts w:ascii="Times New Roman" w:hAnsi="Times New Roman" w:cs="Times New Roman"/>
          <w:sz w:val="24"/>
          <w:szCs w:val="24"/>
        </w:rPr>
        <w:t xml:space="preserve">Boylan, M. (2011). Can there be a just cyber war? 1-9. </w:t>
      </w:r>
    </w:p>
    <w:p w:rsidR="002C1E24" w:rsidRDefault="002C1E24" w:rsidP="002B73AB">
      <w:pPr>
        <w:pStyle w:val="NormalWeb"/>
        <w:spacing w:before="0" w:beforeAutospacing="0" w:after="0" w:afterAutospacing="0" w:line="480" w:lineRule="auto"/>
        <w:ind w:left="720" w:hanging="720"/>
        <w:rPr>
          <w:color w:val="000000"/>
        </w:rPr>
      </w:pPr>
      <w:r>
        <w:rPr>
          <w:color w:val="000000"/>
        </w:rPr>
        <w:t xml:space="preserve">Greenwald, G., MacAskill, E., &amp; Poitras, L. (2018, October 11). Edward Snowden: the whistleblower behind the NSA surveillance revelations. Retrieved from the Guardian website: </w:t>
      </w:r>
      <w:hyperlink r:id="rId7" w:history="1">
        <w:r w:rsidRPr="00EC6A9B">
          <w:rPr>
            <w:rStyle w:val="Hyperlink"/>
          </w:rPr>
          <w:t>https://www.theguardian.com/world/2013/jun/09/edward-snowden-nsa-whistleblower-surveillance</w:t>
        </w:r>
      </w:hyperlink>
    </w:p>
    <w:p w:rsidR="002C1E24" w:rsidRPr="002C1E24" w:rsidRDefault="002C1E24" w:rsidP="002B73AB">
      <w:pPr>
        <w:pStyle w:val="NormalWeb"/>
        <w:spacing w:before="0" w:beforeAutospacing="0" w:after="0" w:afterAutospacing="0" w:line="480" w:lineRule="auto"/>
        <w:ind w:left="720" w:hanging="720"/>
        <w:rPr>
          <w:color w:val="000000"/>
        </w:rPr>
      </w:pPr>
      <w:r>
        <w:rPr>
          <w:color w:val="000000"/>
        </w:rPr>
        <w:t xml:space="preserve">IEEE. (n. d.). IEE code of ethics. 1-2. </w:t>
      </w:r>
    </w:p>
    <w:p w:rsidR="002C1E24" w:rsidRDefault="002C1E24" w:rsidP="002B73AB">
      <w:pPr>
        <w:pStyle w:val="NormalWeb"/>
        <w:spacing w:before="0" w:beforeAutospacing="0" w:after="0" w:afterAutospacing="0" w:line="480" w:lineRule="auto"/>
        <w:ind w:left="720" w:hanging="720"/>
        <w:rPr>
          <w:color w:val="000000"/>
        </w:rPr>
      </w:pPr>
      <w:r>
        <w:rPr>
          <w:color w:val="000000"/>
        </w:rPr>
        <w:t xml:space="preserve">Kushner, D. (2013). Full Page Reload. Retrieved from IEEE Spectrum: Technology, Engineering, and Science News website: </w:t>
      </w:r>
      <w:hyperlink r:id="rId8" w:history="1">
        <w:r w:rsidRPr="00EC6A9B">
          <w:rPr>
            <w:rStyle w:val="Hyperlink"/>
          </w:rPr>
          <w:t>https://spectrum.ieee.org/telecom/security/the-real-story-of-stuxnet</w:t>
        </w:r>
      </w:hyperlink>
    </w:p>
    <w:p w:rsidR="002C1E24" w:rsidRDefault="002C1E24" w:rsidP="002B73AB">
      <w:pPr>
        <w:pStyle w:val="NormalWeb"/>
        <w:spacing w:before="0" w:beforeAutospacing="0" w:after="0" w:afterAutospacing="0" w:line="480" w:lineRule="auto"/>
        <w:ind w:left="720" w:hanging="720"/>
        <w:rPr>
          <w:color w:val="000000"/>
        </w:rPr>
      </w:pPr>
      <w:r>
        <w:rPr>
          <w:color w:val="000000"/>
        </w:rPr>
        <w:t xml:space="preserve">National Society of Professional Engineers. (n.d.). Code of ethics for engineers. 1-2. </w:t>
      </w:r>
    </w:p>
    <w:p w:rsidR="001A6357" w:rsidRDefault="001A6357" w:rsidP="002B73AB">
      <w:pPr>
        <w:pStyle w:val="NormalWeb"/>
        <w:spacing w:before="0" w:beforeAutospacing="0" w:after="0" w:afterAutospacing="0" w:line="480" w:lineRule="auto"/>
        <w:ind w:left="720" w:hanging="720"/>
        <w:rPr>
          <w:color w:val="000000"/>
        </w:rPr>
      </w:pPr>
      <w:r>
        <w:rPr>
          <w:color w:val="000000"/>
        </w:rPr>
        <w:t>Oxley, J. &amp; Wittkower, D. E. Care and loya</w:t>
      </w:r>
      <w:bookmarkStart w:id="0" w:name="_GoBack"/>
      <w:bookmarkEnd w:id="0"/>
      <w:r>
        <w:rPr>
          <w:color w:val="000000"/>
        </w:rPr>
        <w:t>lty in the workplace: Chapter 12.  1-24.</w:t>
      </w:r>
    </w:p>
    <w:p w:rsidR="001A6357" w:rsidRDefault="001A6357" w:rsidP="002B73AB">
      <w:pPr>
        <w:pStyle w:val="NormalWeb"/>
        <w:spacing w:before="0" w:beforeAutospacing="0" w:after="0" w:afterAutospacing="0" w:line="480" w:lineRule="auto"/>
        <w:ind w:left="720" w:hanging="720"/>
        <w:rPr>
          <w:color w:val="000000"/>
        </w:rPr>
      </w:pPr>
      <w:r>
        <w:rPr>
          <w:color w:val="000000"/>
        </w:rPr>
        <w:t xml:space="preserve">Taddeo, M. (2012). An analysis for a just cyber warfare. University of Oxford, 1-12. </w:t>
      </w:r>
    </w:p>
    <w:p w:rsidR="002C1E24" w:rsidRDefault="002C1E24" w:rsidP="002B73AB">
      <w:pPr>
        <w:pStyle w:val="NormalWeb"/>
        <w:spacing w:before="0" w:beforeAutospacing="0" w:after="0" w:afterAutospacing="0" w:line="480" w:lineRule="auto"/>
        <w:ind w:left="720" w:hanging="720"/>
        <w:rPr>
          <w:color w:val="000000"/>
        </w:rPr>
      </w:pPr>
      <w:r>
        <w:rPr>
          <w:color w:val="000000"/>
        </w:rPr>
        <w:t xml:space="preserve">Tufekci, Z. (2017). “We’re building a dystopia just to make people click on ads.” Retrieved from www.ted.com website: </w:t>
      </w:r>
      <w:hyperlink r:id="rId9" w:history="1">
        <w:r w:rsidR="001A6357" w:rsidRPr="00EC6A9B">
          <w:rPr>
            <w:rStyle w:val="Hyperlink"/>
          </w:rPr>
          <w:t>https://www.ted.com/talks/zeynep_tufekci_we_re_building_a_dystopia_just_to_make_people_click_on_ads/transcript</w:t>
        </w:r>
      </w:hyperlink>
    </w:p>
    <w:p w:rsidR="001A6357" w:rsidRPr="001A6357" w:rsidRDefault="001A6357" w:rsidP="002B73AB">
      <w:pPr>
        <w:pStyle w:val="NormalWeb"/>
        <w:spacing w:before="0" w:beforeAutospacing="0" w:after="0" w:afterAutospacing="0" w:line="480" w:lineRule="auto"/>
        <w:ind w:left="720" w:hanging="720"/>
        <w:rPr>
          <w:i/>
          <w:color w:val="000000"/>
        </w:rPr>
      </w:pPr>
      <w:r>
        <w:rPr>
          <w:color w:val="000000"/>
        </w:rPr>
        <w:lastRenderedPageBreak/>
        <w:t xml:space="preserve">Vandekerchove, W. &amp; Commers, R. M. S. (2004). Whistle blowing and rational loyalty. </w:t>
      </w:r>
      <w:r w:rsidRPr="001A6357">
        <w:rPr>
          <w:i/>
          <w:color w:val="000000"/>
        </w:rPr>
        <w:t>Journal of</w:t>
      </w:r>
    </w:p>
    <w:p w:rsidR="001A6357" w:rsidRDefault="001A6357" w:rsidP="002B73AB">
      <w:pPr>
        <w:pStyle w:val="NormalWeb"/>
        <w:spacing w:before="0" w:beforeAutospacing="0" w:after="0" w:afterAutospacing="0" w:line="480" w:lineRule="auto"/>
        <w:ind w:left="720" w:hanging="720"/>
        <w:rPr>
          <w:color w:val="000000"/>
        </w:rPr>
      </w:pPr>
      <w:r w:rsidRPr="001A6357">
        <w:rPr>
          <w:i/>
          <w:color w:val="000000"/>
        </w:rPr>
        <w:tab/>
        <w:t>Business Ethics</w:t>
      </w:r>
      <w:r>
        <w:rPr>
          <w:color w:val="000000"/>
        </w:rPr>
        <w:t xml:space="preserve">, 53(2), 225-233. </w:t>
      </w:r>
    </w:p>
    <w:p w:rsidR="002C1E24" w:rsidRDefault="002C1E24" w:rsidP="002C1E24">
      <w:pPr>
        <w:pStyle w:val="NormalWeb"/>
        <w:rPr>
          <w:color w:val="000000"/>
        </w:rPr>
      </w:pPr>
      <w:r>
        <w:rPr>
          <w:color w:val="000000"/>
        </w:rPr>
        <w:t>‌</w:t>
      </w:r>
    </w:p>
    <w:p w:rsidR="002C1E24" w:rsidRDefault="002C1E24" w:rsidP="002C1E24">
      <w:pPr>
        <w:pStyle w:val="NormalWeb"/>
        <w:spacing w:before="0" w:beforeAutospacing="0" w:after="0" w:afterAutospacing="0" w:line="480" w:lineRule="auto"/>
        <w:ind w:hanging="720"/>
        <w:rPr>
          <w:color w:val="000000"/>
        </w:rPr>
      </w:pPr>
    </w:p>
    <w:p w:rsidR="002C1E24" w:rsidRDefault="002C1E24" w:rsidP="002C1E24">
      <w:pPr>
        <w:pStyle w:val="NormalWeb"/>
        <w:rPr>
          <w:color w:val="000000"/>
        </w:rPr>
      </w:pPr>
      <w:r>
        <w:rPr>
          <w:color w:val="000000"/>
        </w:rPr>
        <w:t>‌</w:t>
      </w:r>
    </w:p>
    <w:p w:rsidR="002C1E24" w:rsidRDefault="002C1E24" w:rsidP="002C1E24">
      <w:pPr>
        <w:spacing w:line="480" w:lineRule="auto"/>
        <w:rPr>
          <w:rFonts w:ascii="Times New Roman" w:hAnsi="Times New Roman" w:cs="Times New Roman"/>
          <w:sz w:val="24"/>
          <w:szCs w:val="24"/>
        </w:rPr>
      </w:pPr>
    </w:p>
    <w:p w:rsidR="00D95033" w:rsidRPr="00373DF3" w:rsidRDefault="00D95033" w:rsidP="00C612D4">
      <w:pPr>
        <w:spacing w:line="480" w:lineRule="auto"/>
        <w:rPr>
          <w:rFonts w:ascii="Times New Roman" w:hAnsi="Times New Roman" w:cs="Times New Roman"/>
          <w:sz w:val="24"/>
          <w:szCs w:val="24"/>
        </w:rPr>
      </w:pPr>
    </w:p>
    <w:p w:rsidR="007F7817" w:rsidRPr="007F7817" w:rsidRDefault="00E35DEC" w:rsidP="00C612D4">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15729" w:rsidRPr="00815729" w:rsidRDefault="00815729" w:rsidP="00C612D4">
      <w:pPr>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623CD" w:rsidRDefault="008623CD" w:rsidP="00C612D4">
      <w:pPr>
        <w:spacing w:line="480" w:lineRule="auto"/>
        <w:rPr>
          <w:rFonts w:ascii="Times New Roman" w:hAnsi="Times New Roman" w:cs="Times New Roman"/>
          <w:sz w:val="24"/>
          <w:szCs w:val="24"/>
        </w:rPr>
      </w:pPr>
    </w:p>
    <w:p w:rsidR="00053A15" w:rsidRDefault="00053A15" w:rsidP="00C612D4">
      <w:pPr>
        <w:spacing w:line="480" w:lineRule="auto"/>
        <w:rPr>
          <w:rFonts w:ascii="Times New Roman" w:hAnsi="Times New Roman" w:cs="Times New Roman"/>
          <w:sz w:val="24"/>
          <w:szCs w:val="24"/>
        </w:rPr>
      </w:pPr>
    </w:p>
    <w:p w:rsidR="00053A15" w:rsidRPr="002054ED" w:rsidRDefault="00053A15" w:rsidP="00C612D4">
      <w:pPr>
        <w:spacing w:line="480" w:lineRule="auto"/>
        <w:rPr>
          <w:rFonts w:ascii="Times New Roman" w:hAnsi="Times New Roman" w:cs="Times New Roman"/>
          <w:sz w:val="24"/>
          <w:szCs w:val="24"/>
        </w:rPr>
      </w:pPr>
    </w:p>
    <w:sectPr w:rsidR="00053A15" w:rsidRPr="002054ED" w:rsidSect="002054E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213" w:rsidRDefault="00895213" w:rsidP="002054ED">
      <w:pPr>
        <w:spacing w:after="0" w:line="240" w:lineRule="auto"/>
      </w:pPr>
      <w:r>
        <w:separator/>
      </w:r>
    </w:p>
  </w:endnote>
  <w:endnote w:type="continuationSeparator" w:id="0">
    <w:p w:rsidR="00895213" w:rsidRDefault="00895213" w:rsidP="00205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213" w:rsidRDefault="00895213" w:rsidP="002054ED">
      <w:pPr>
        <w:spacing w:after="0" w:line="240" w:lineRule="auto"/>
      </w:pPr>
      <w:r>
        <w:separator/>
      </w:r>
    </w:p>
  </w:footnote>
  <w:footnote w:type="continuationSeparator" w:id="0">
    <w:p w:rsidR="00895213" w:rsidRDefault="00895213" w:rsidP="00205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69C" w:rsidRPr="002054ED" w:rsidRDefault="003C269C" w:rsidP="002054ED">
    <w:pPr>
      <w:pStyle w:val="Header"/>
      <w:spacing w:line="480" w:lineRule="auto"/>
      <w:rPr>
        <w:rFonts w:ascii="Times New Roman" w:hAnsi="Times New Roman" w:cs="Times New Roman"/>
        <w:sz w:val="24"/>
        <w:szCs w:val="24"/>
      </w:rPr>
    </w:pPr>
    <w:r w:rsidRPr="002054ED">
      <w:rPr>
        <w:rFonts w:ascii="Times New Roman" w:hAnsi="Times New Roman" w:cs="Times New Roman"/>
        <w:sz w:val="24"/>
        <w:szCs w:val="24"/>
      </w:rPr>
      <w:t xml:space="preserve">CYBER ETHICS REVIEW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61199004"/>
        <w:docPartObj>
          <w:docPartGallery w:val="Page Numbers (Top of Page)"/>
          <w:docPartUnique/>
        </w:docPartObj>
      </w:sdtPr>
      <w:sdtEndPr>
        <w:rPr>
          <w:noProof/>
        </w:rPr>
      </w:sdtEndPr>
      <w:sdtContent>
        <w:r w:rsidRPr="002054ED">
          <w:rPr>
            <w:rFonts w:ascii="Times New Roman" w:hAnsi="Times New Roman" w:cs="Times New Roman"/>
            <w:sz w:val="24"/>
            <w:szCs w:val="24"/>
          </w:rPr>
          <w:fldChar w:fldCharType="begin"/>
        </w:r>
        <w:r w:rsidRPr="002054ED">
          <w:rPr>
            <w:rFonts w:ascii="Times New Roman" w:hAnsi="Times New Roman" w:cs="Times New Roman"/>
            <w:sz w:val="24"/>
            <w:szCs w:val="24"/>
          </w:rPr>
          <w:instrText xml:space="preserve"> PAGE   \* MERGEFORMAT </w:instrText>
        </w:r>
        <w:r w:rsidRPr="002054ED">
          <w:rPr>
            <w:rFonts w:ascii="Times New Roman" w:hAnsi="Times New Roman" w:cs="Times New Roman"/>
            <w:sz w:val="24"/>
            <w:szCs w:val="24"/>
          </w:rPr>
          <w:fldChar w:fldCharType="separate"/>
        </w:r>
        <w:r w:rsidR="00F75855">
          <w:rPr>
            <w:rFonts w:ascii="Times New Roman" w:hAnsi="Times New Roman" w:cs="Times New Roman"/>
            <w:noProof/>
            <w:sz w:val="24"/>
            <w:szCs w:val="24"/>
          </w:rPr>
          <w:t>17</w:t>
        </w:r>
        <w:r w:rsidRPr="002054ED">
          <w:rPr>
            <w:rFonts w:ascii="Times New Roman" w:hAnsi="Times New Roman" w:cs="Times New Roman"/>
            <w:noProof/>
            <w:sz w:val="24"/>
            <w:szCs w:val="24"/>
          </w:rPr>
          <w:fldChar w:fldCharType="end"/>
        </w:r>
      </w:sdtContent>
    </w:sdt>
  </w:p>
  <w:p w:rsidR="003C269C" w:rsidRDefault="003C26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69C" w:rsidRPr="002054ED" w:rsidRDefault="003C269C" w:rsidP="002054ED">
    <w:pPr>
      <w:pStyle w:val="Header"/>
      <w:spacing w:line="480" w:lineRule="auto"/>
      <w:rPr>
        <w:rFonts w:ascii="Times New Roman" w:hAnsi="Times New Roman" w:cs="Times New Roman"/>
        <w:sz w:val="24"/>
        <w:szCs w:val="24"/>
      </w:rPr>
    </w:pPr>
    <w:r w:rsidRPr="002054ED">
      <w:rPr>
        <w:rFonts w:ascii="Times New Roman" w:hAnsi="Times New Roman" w:cs="Times New Roman"/>
        <w:sz w:val="24"/>
        <w:szCs w:val="24"/>
      </w:rPr>
      <w:t xml:space="preserve">Running head: CYBER ETHICS REVIEW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35944645"/>
        <w:docPartObj>
          <w:docPartGallery w:val="Page Numbers (Top of Page)"/>
          <w:docPartUnique/>
        </w:docPartObj>
      </w:sdtPr>
      <w:sdtEndPr>
        <w:rPr>
          <w:noProof/>
        </w:rPr>
      </w:sdtEndPr>
      <w:sdtContent>
        <w:r w:rsidRPr="002054ED">
          <w:rPr>
            <w:rFonts w:ascii="Times New Roman" w:hAnsi="Times New Roman" w:cs="Times New Roman"/>
            <w:sz w:val="24"/>
            <w:szCs w:val="24"/>
          </w:rPr>
          <w:fldChar w:fldCharType="begin"/>
        </w:r>
        <w:r w:rsidRPr="002054ED">
          <w:rPr>
            <w:rFonts w:ascii="Times New Roman" w:hAnsi="Times New Roman" w:cs="Times New Roman"/>
            <w:sz w:val="24"/>
            <w:szCs w:val="24"/>
          </w:rPr>
          <w:instrText xml:space="preserve"> PAGE   \* MERGEFORMAT </w:instrText>
        </w:r>
        <w:r w:rsidRPr="002054ED">
          <w:rPr>
            <w:rFonts w:ascii="Times New Roman" w:hAnsi="Times New Roman" w:cs="Times New Roman"/>
            <w:sz w:val="24"/>
            <w:szCs w:val="24"/>
          </w:rPr>
          <w:fldChar w:fldCharType="separate"/>
        </w:r>
        <w:r w:rsidR="00F75855">
          <w:rPr>
            <w:rFonts w:ascii="Times New Roman" w:hAnsi="Times New Roman" w:cs="Times New Roman"/>
            <w:noProof/>
            <w:sz w:val="24"/>
            <w:szCs w:val="24"/>
          </w:rPr>
          <w:t>1</w:t>
        </w:r>
        <w:r w:rsidRPr="002054ED">
          <w:rPr>
            <w:rFonts w:ascii="Times New Roman" w:hAnsi="Times New Roman" w:cs="Times New Roman"/>
            <w:noProof/>
            <w:sz w:val="24"/>
            <w:szCs w:val="24"/>
          </w:rPr>
          <w:fldChar w:fldCharType="end"/>
        </w:r>
      </w:sdtContent>
    </w:sdt>
  </w:p>
  <w:p w:rsidR="003C269C" w:rsidRDefault="003C26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4ED"/>
    <w:rsid w:val="00053A15"/>
    <w:rsid w:val="00086DFA"/>
    <w:rsid w:val="000914EC"/>
    <w:rsid w:val="000C0273"/>
    <w:rsid w:val="000D5741"/>
    <w:rsid w:val="00132244"/>
    <w:rsid w:val="001800D5"/>
    <w:rsid w:val="001A6357"/>
    <w:rsid w:val="001B4F0A"/>
    <w:rsid w:val="002054ED"/>
    <w:rsid w:val="002337C1"/>
    <w:rsid w:val="00292B78"/>
    <w:rsid w:val="002B529B"/>
    <w:rsid w:val="002B73AB"/>
    <w:rsid w:val="002C1E24"/>
    <w:rsid w:val="00373DF3"/>
    <w:rsid w:val="00381A36"/>
    <w:rsid w:val="003C269C"/>
    <w:rsid w:val="00426950"/>
    <w:rsid w:val="00457595"/>
    <w:rsid w:val="004D4C1F"/>
    <w:rsid w:val="00563DE5"/>
    <w:rsid w:val="0059264D"/>
    <w:rsid w:val="005A2007"/>
    <w:rsid w:val="005C5EA7"/>
    <w:rsid w:val="005D6FF3"/>
    <w:rsid w:val="00616208"/>
    <w:rsid w:val="006420BC"/>
    <w:rsid w:val="006B29D7"/>
    <w:rsid w:val="006D11A7"/>
    <w:rsid w:val="007128A7"/>
    <w:rsid w:val="0071669E"/>
    <w:rsid w:val="007B0943"/>
    <w:rsid w:val="007B1904"/>
    <w:rsid w:val="007E1D58"/>
    <w:rsid w:val="007F7817"/>
    <w:rsid w:val="00815729"/>
    <w:rsid w:val="008623CD"/>
    <w:rsid w:val="00891228"/>
    <w:rsid w:val="00895213"/>
    <w:rsid w:val="008E6C87"/>
    <w:rsid w:val="008F7308"/>
    <w:rsid w:val="00A731C1"/>
    <w:rsid w:val="00AE46C9"/>
    <w:rsid w:val="00B35EDF"/>
    <w:rsid w:val="00C4444C"/>
    <w:rsid w:val="00C612D4"/>
    <w:rsid w:val="00C65DC3"/>
    <w:rsid w:val="00C7757A"/>
    <w:rsid w:val="00CD2A72"/>
    <w:rsid w:val="00D95033"/>
    <w:rsid w:val="00DF0FBE"/>
    <w:rsid w:val="00E35DEC"/>
    <w:rsid w:val="00E90DB2"/>
    <w:rsid w:val="00ED2B55"/>
    <w:rsid w:val="00F56C6C"/>
    <w:rsid w:val="00F75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E685BC-A031-4080-A7AF-DD083010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4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4ED"/>
  </w:style>
  <w:style w:type="paragraph" w:styleId="Footer">
    <w:name w:val="footer"/>
    <w:basedOn w:val="Normal"/>
    <w:link w:val="FooterChar"/>
    <w:uiPriority w:val="99"/>
    <w:unhideWhenUsed/>
    <w:rsid w:val="002054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4ED"/>
  </w:style>
  <w:style w:type="paragraph" w:styleId="NormalWeb">
    <w:name w:val="Normal (Web)"/>
    <w:basedOn w:val="Normal"/>
    <w:uiPriority w:val="99"/>
    <w:unhideWhenUsed/>
    <w:rsid w:val="002C1E2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C1E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929020">
      <w:bodyDiv w:val="1"/>
      <w:marLeft w:val="0"/>
      <w:marRight w:val="0"/>
      <w:marTop w:val="0"/>
      <w:marBottom w:val="0"/>
      <w:divBdr>
        <w:top w:val="none" w:sz="0" w:space="0" w:color="auto"/>
        <w:left w:val="none" w:sz="0" w:space="0" w:color="auto"/>
        <w:bottom w:val="none" w:sz="0" w:space="0" w:color="auto"/>
        <w:right w:val="none" w:sz="0" w:space="0" w:color="auto"/>
      </w:divBdr>
    </w:div>
    <w:div w:id="1377925310">
      <w:bodyDiv w:val="1"/>
      <w:marLeft w:val="0"/>
      <w:marRight w:val="0"/>
      <w:marTop w:val="0"/>
      <w:marBottom w:val="0"/>
      <w:divBdr>
        <w:top w:val="none" w:sz="0" w:space="0" w:color="auto"/>
        <w:left w:val="none" w:sz="0" w:space="0" w:color="auto"/>
        <w:bottom w:val="none" w:sz="0" w:space="0" w:color="auto"/>
        <w:right w:val="none" w:sz="0" w:space="0" w:color="auto"/>
      </w:divBdr>
    </w:div>
    <w:div w:id="1405683586">
      <w:bodyDiv w:val="1"/>
      <w:marLeft w:val="0"/>
      <w:marRight w:val="0"/>
      <w:marTop w:val="0"/>
      <w:marBottom w:val="0"/>
      <w:divBdr>
        <w:top w:val="none" w:sz="0" w:space="0" w:color="auto"/>
        <w:left w:val="none" w:sz="0" w:space="0" w:color="auto"/>
        <w:bottom w:val="none" w:sz="0" w:space="0" w:color="auto"/>
        <w:right w:val="none" w:sz="0" w:space="0" w:color="auto"/>
      </w:divBdr>
    </w:div>
    <w:div w:id="16492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ectrum.ieee.org/telecom/security/the-real-story-of-stuxne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theguardian.com/world/2013/jun/09/edward-snowden-nsa-whistleblower-surveillanc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ed.com/talks/zeynep_tufekci_we_re_building_a_dystopia_just_to_make_people_click_on_ads/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91754D-D996-40A6-986C-5491A7B72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3994</Words>
  <Characters>22767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2020-06-21T19:33:00Z</dcterms:created>
  <dcterms:modified xsi:type="dcterms:W3CDTF">2020-06-21T19:33:00Z</dcterms:modified>
</cp:coreProperties>
</file>